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0" w:line="360" w:lineRule="auto"/>
        <w:ind w:firstLine="708"/>
        <w:contextualSpacing/>
        <w:rPr>
          <w:rFonts w:ascii="Calibri" w:hAnsi="Calibri" w:cs="Calibri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3476625" cy="1685925"/>
            <wp:effectExtent l="0" t="0" r="0" b="0"/>
            <wp:docPr id="1" name="Рисунок 1" descr="лог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лого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276" w:lineRule="auto"/>
        <w:jc w:val="right"/>
        <w:rPr>
          <w:rFonts w:ascii="Segoe UI" w:hAnsi="Segoe UI" w:cs="Segoe UI"/>
          <w:b/>
          <w:sz w:val="32"/>
          <w:szCs w:val="32"/>
        </w:rPr>
      </w:pPr>
      <w:r>
        <w:rPr>
          <w:rFonts w:ascii="Segoe UI" w:hAnsi="Segoe UI" w:cs="Segoe UI"/>
          <w:b/>
          <w:sz w:val="32"/>
          <w:szCs w:val="32"/>
        </w:rPr>
        <w:t>ПРЕСС-РЕЛИЗ</w:t>
      </w:r>
    </w:p>
    <w:p>
      <w:pPr>
        <w:spacing w:after="0" w:line="276" w:lineRule="auto"/>
        <w:jc w:val="right"/>
        <w:rPr>
          <w:rFonts w:ascii="Segoe UI" w:hAnsi="Segoe UI" w:cs="Segoe UI"/>
          <w:b/>
          <w:sz w:val="24"/>
          <w:szCs w:val="24"/>
        </w:rPr>
      </w:pPr>
      <w:r>
        <w:rPr>
          <w:rFonts w:ascii="Segoe UI" w:hAnsi="Segoe UI" w:cs="Segoe UI"/>
          <w:b/>
          <w:sz w:val="24"/>
          <w:szCs w:val="24"/>
        </w:rPr>
        <w:t>21 сентября 2020</w:t>
      </w:r>
    </w:p>
    <w:p>
      <w:pPr>
        <w:spacing w:after="0" w:line="360" w:lineRule="auto"/>
        <w:ind w:firstLine="708"/>
        <w:contextualSpacing/>
        <w:jc w:val="center"/>
        <w:rPr>
          <w:rFonts w:ascii="Calibri" w:hAnsi="Calibri" w:cs="Calibri"/>
          <w:b/>
          <w:sz w:val="24"/>
          <w:szCs w:val="24"/>
        </w:rPr>
      </w:pPr>
    </w:p>
    <w:p>
      <w:pPr>
        <w:spacing w:after="0" w:line="360" w:lineRule="auto"/>
        <w:ind w:firstLine="708"/>
        <w:contextualSpacing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Segoe UI" w:hAnsi="Segoe UI" w:cs="Segoe UI"/>
          <w:b/>
          <w:sz w:val="28"/>
          <w:szCs w:val="28"/>
        </w:rPr>
        <w:t>Самарский Росреестр рекомендует посмотреть, в каком году была проведена кадастровая оценка</w:t>
      </w:r>
    </w:p>
    <w:p>
      <w:pPr>
        <w:spacing w:after="0" w:line="360" w:lineRule="auto"/>
        <w:ind w:firstLine="708"/>
        <w:contextualSpacing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Прежде чем оспаривать кадастровую стоимость, заявителям Самарской области стоит обратить внимание на один важный пункт законодательства. О нем рассказал начальник отдела кадастровой оценки недвижимости Управления Росреестра по Самарской области </w:t>
      </w:r>
      <w:r>
        <w:rPr>
          <w:rFonts w:ascii="Segoe UI" w:hAnsi="Segoe UI" w:cs="Segoe UI"/>
          <w:b/>
          <w:sz w:val="24"/>
          <w:szCs w:val="24"/>
        </w:rPr>
        <w:t>Иван Маслов</w:t>
      </w:r>
      <w:r>
        <w:rPr>
          <w:rFonts w:ascii="Segoe UI" w:hAnsi="Segoe UI" w:cs="Segoe UI"/>
          <w:sz w:val="24"/>
          <w:szCs w:val="24"/>
        </w:rPr>
        <w:t xml:space="preserve">.  </w:t>
      </w:r>
    </w:p>
    <w:p>
      <w:pPr>
        <w:spacing w:after="0" w:line="360" w:lineRule="auto"/>
        <w:ind w:firstLine="708"/>
        <w:contextualSpacing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Кадастровая стоимость – это основа для начисления земельного налога и налога на имущество физических лиц и организаций, арендной платы за земельные участки. Ее периодическая актуализация в соответствии с меняющимися условиями рынка объектов недвижимости всегда была заложена в законодательство. Например, в настоящее время ГБУ СО «Центр кадастровой оценки» обновляет кадастровую оценку земельных участков земель населенных пунктов. Промежуточные результаты этой оценки размещены на сайте указанной организации,</w:t>
      </w:r>
      <w:bookmarkStart w:id="0" w:name="_GoBack"/>
      <w:bookmarkEnd w:id="0"/>
      <w:r>
        <w:rPr>
          <w:rFonts w:ascii="Segoe UI" w:hAnsi="Segoe UI" w:cs="Segoe UI"/>
          <w:sz w:val="24"/>
          <w:szCs w:val="24"/>
        </w:rPr>
        <w:t xml:space="preserve"> до первого декабря текущего года ожидается их утверждение с применением с 2021 года. </w:t>
      </w:r>
    </w:p>
    <w:p>
      <w:pPr>
        <w:spacing w:after="0" w:line="360" w:lineRule="auto"/>
        <w:ind w:firstLine="708"/>
        <w:contextualSpacing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Сегодня периодичность кадастровой оценки установлена специальным федеральным законом «О государственной кадастровой оценке» и составляет один раз в четыре года, начиная с 2022 года. </w:t>
      </w:r>
    </w:p>
    <w:p>
      <w:pPr>
        <w:spacing w:after="0" w:line="360" w:lineRule="auto"/>
        <w:ind w:firstLine="708"/>
        <w:contextualSpacing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- </w:t>
      </w:r>
      <w:r>
        <w:rPr>
          <w:rFonts w:ascii="Segoe UI" w:hAnsi="Segoe UI" w:cs="Segoe UI"/>
          <w:i/>
          <w:sz w:val="24"/>
          <w:szCs w:val="24"/>
        </w:rPr>
        <w:t xml:space="preserve">Кадастровая стоимость – это не постоянная величина, она может изменяться в трех случаях: при преобразовании объекта недвижимости, при оспаривании кадастровой стоимости, а также при утверждении новой </w:t>
      </w:r>
      <w:r>
        <w:rPr>
          <w:rFonts w:ascii="Segoe UI" w:hAnsi="Segoe UI" w:cs="Segoe UI"/>
          <w:i/>
          <w:sz w:val="24"/>
          <w:szCs w:val="24"/>
        </w:rPr>
        <w:lastRenderedPageBreak/>
        <w:t xml:space="preserve">кадастровой оценки. При этом оспаривание кадастровой стоимости затрагивает только период ее применения заявителем. </w:t>
      </w:r>
      <w:proofErr w:type="gramStart"/>
      <w:r>
        <w:rPr>
          <w:rFonts w:ascii="Segoe UI" w:hAnsi="Segoe UI" w:cs="Segoe UI"/>
          <w:i/>
          <w:sz w:val="24"/>
          <w:szCs w:val="24"/>
        </w:rPr>
        <w:t>Например, оспорив сегодня результат определения кадастровой стоимости по земельному участку земель населенных пунктов, можно рассчитывать на снижение налога исключительно по 2020 году и возврат излишне уплаченного за три предыдущих налоговых периода, если заявитель являлся правообладателем в течение этих лет</w:t>
      </w:r>
      <w:proofErr w:type="gramEnd"/>
      <w:r>
        <w:rPr>
          <w:rFonts w:ascii="Segoe UI" w:hAnsi="Segoe UI" w:cs="Segoe UI"/>
          <w:sz w:val="24"/>
          <w:szCs w:val="24"/>
        </w:rPr>
        <w:t xml:space="preserve">, - говорит Иван Маслов. </w:t>
      </w:r>
    </w:p>
    <w:p>
      <w:pPr>
        <w:spacing w:after="0" w:line="360" w:lineRule="auto"/>
        <w:ind w:firstLine="708"/>
        <w:contextualSpacing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При управлении своей недвижимостью, планировании доходов и расходов, связанных с ее содержанием и эксплуатацией, эксперт рекомендует учитывать такую особенность законодательства как периодическое изменение кадастровой оценки без участия правообладателя. Таким образом, прежде чем оспаривать кадастровую стоимость в первую очередь важно посмотреть год, в котором была проведена кадастровая оценка, и только после этого оценивать экономическую целесообразность оспаривания кадастровой стоимости.  </w:t>
      </w:r>
    </w:p>
    <w:p>
      <w:pPr>
        <w:suppressAutoHyphens/>
        <w:autoSpaceDE w:val="0"/>
        <w:autoSpaceDN w:val="0"/>
        <w:adjustRightInd w:val="0"/>
        <w:spacing w:before="240" w:after="0" w:line="240" w:lineRule="auto"/>
        <w:jc w:val="both"/>
        <w:rPr>
          <w:rFonts w:ascii="Segoe UI" w:hAnsi="Segoe UI" w:cs="Segoe UI"/>
          <w:b/>
          <w:noProof/>
          <w:sz w:val="26"/>
          <w:szCs w:val="26"/>
          <w:lang w:eastAsia="sk-SK"/>
        </w:rPr>
      </w:pPr>
    </w:p>
    <w:p>
      <w:pPr>
        <w:suppressAutoHyphens/>
        <w:autoSpaceDE w:val="0"/>
        <w:autoSpaceDN w:val="0"/>
        <w:adjustRightInd w:val="0"/>
        <w:spacing w:before="240" w:after="0" w:line="240" w:lineRule="auto"/>
        <w:jc w:val="both"/>
        <w:rPr>
          <w:rFonts w:ascii="Segoe UI" w:hAnsi="Segoe UI" w:cs="Segoe UI"/>
          <w:b/>
          <w:noProof/>
          <w:sz w:val="24"/>
          <w:szCs w:val="24"/>
          <w:lang w:eastAsia="sk-SK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-93345</wp:posOffset>
                </wp:positionH>
                <wp:positionV relativeFrom="paragraph">
                  <wp:posOffset>111125</wp:posOffset>
                </wp:positionV>
                <wp:extent cx="6229350" cy="0"/>
                <wp:effectExtent l="0" t="0" r="19050" b="19050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9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-7.35pt;margin-top:8.75pt;width:490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oTPTQIAAFQEAAAOAAAAZHJzL2Uyb0RvYy54bWysVEtu2zAQ3RfoHQjuHUn+JRYiB4Vkd5O2&#10;AZIegCYpi6hEEiRj2SgKpL1AjtArdNNFP8gZ5Bt1SH+QtJui6GY0JGce38w86vxi3dRoxY0VSmY4&#10;OYkx4pIqJuQyw29v5r0zjKwjkpFaSZ7hDbf4Yvr82XmrU95XlaoZNwhApE1bneHKOZ1GkaUVb4g9&#10;UZpLOCyVaYiDpVlGzJAW0Js66sfxOGqVYdooyq2F3WJ3iKcBvyw5dW/K0nKH6gwDNxesCXbhbTQ9&#10;J+nSEF0JuqdB/oFFQ4SES49QBXEE3RrxB1QjqFFWle6EqiZSZSkoDzVANUn8WzXXFdE81ALNsfrY&#10;Jvv/YOnr1ZVBgmV4gJEkDYyo+7y92953P7sv23u0/dg9gNl+2t51X7sf3ffuofuGBr5vrbYppOfy&#10;yvjK6Vpe60tF31kkVV4RueSB/81GA2jiM6InKX5hNdy+aF8pBjHk1qnQxHVpGg8J7UHrMKvNcVZ8&#10;7RCFzXG/PxmMYKT0cBaR9JCojXUvuWqQdzJsnSFiWblcSQmKUCYJ15DVpXWeFkkPCf5WqeairoMw&#10;aonaDE9G/VFIsKoWzB/6MGuWi7w2aEW8tOLTOA9qArAnYUbdShbAKk7YbO87IuqdD/G19HhQGNDZ&#10;ezvtvJ/Ek9nZ7GzYG/bHs94wLorei3k+7I3nyemoGBR5XiQfPLVkmFaCMS49u4OOk+Hf6WT/onYK&#10;PCr52IboKXroF5A9fAPpMFk/zJ0sFoptrsxh4iDdELx/Zv5tPF6D//hnMP0FAAD//wMAUEsDBBQA&#10;BgAIAAAAIQDsRXUY3wAAAAkBAAAPAAAAZHJzL2Rvd25yZXYueG1sTI9NT8MwDIbvSPyHyEhc0JaO&#10;jw5K0wmBemA3toF29BqTVjROabK149cTxAGO9vvo9eN8MdpWHKj3jWMFs2kCgrhyumGjYLMuJ7cg&#10;fEDW2DomBUfysChOT3LMtBv4hQ6rYEQsYZ+hgjqELpPSVzVZ9FPXEcfs3fUWQxx7I3WPQyy3rbxM&#10;klRabDheqLGjx5qqj9XeKnh7bl+/Sjpuy+3F5zrZPKEZzFKp87Px4R5EoDH8wfCjH9WhiE47t2ft&#10;RatgMrueRzQG8xsQEbhL0ysQu9+FLHL5/4PiGwAA//8DAFBLAQItABQABgAIAAAAIQC2gziS/gAA&#10;AOEBAAATAAAAAAAAAAAAAAAAAAAAAABbQ29udGVudF9UeXBlc10ueG1sUEsBAi0AFAAGAAgAAAAh&#10;ADj9If/WAAAAlAEAAAsAAAAAAAAAAAAAAAAALwEAAF9yZWxzLy5yZWxzUEsBAi0AFAAGAAgAAAAh&#10;AEh6hM9NAgAAVAQAAA4AAAAAAAAAAAAAAAAALgIAAGRycy9lMm9Eb2MueG1sUEsBAi0AFAAGAAgA&#10;AAAhAOxFdRjfAAAACQEAAA8AAAAAAAAAAAAAAAAApwQAAGRycy9kb3ducmV2LnhtbFBLBQYAAAAA&#10;BAAEAPMAAACzBQAAAAA=&#10;" strokecolor="#0070c0"/>
            </w:pict>
          </mc:Fallback>
        </mc:AlternateContent>
      </w:r>
      <w:r>
        <w:rPr>
          <w:rFonts w:ascii="Segoe UI" w:hAnsi="Segoe UI" w:cs="Segoe UI"/>
          <w:b/>
          <w:noProof/>
          <w:sz w:val="24"/>
          <w:szCs w:val="24"/>
          <w:lang w:eastAsia="sk-SK"/>
        </w:rPr>
        <w:t xml:space="preserve">Контакты для СМИ: </w:t>
      </w:r>
    </w:p>
    <w:p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Ольга Никитина, помощник руководителя Управления Росреестра </w:t>
      </w:r>
    </w:p>
    <w:p>
      <w:pPr>
        <w:tabs>
          <w:tab w:val="left" w:pos="390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8 927 690 73 51, </w:t>
      </w:r>
      <w:hyperlink r:id="rId5" w:history="1">
        <w:r>
          <w:rPr>
            <w:rFonts w:ascii="Segoe UI" w:hAnsi="Segoe UI" w:cs="Segoe UI"/>
            <w:color w:val="0000FF"/>
            <w:sz w:val="24"/>
            <w:szCs w:val="24"/>
            <w:u w:val="single"/>
            <w:shd w:val="clear" w:color="auto" w:fill="FFFFFF"/>
            <w:lang w:val="en-US"/>
          </w:rPr>
          <w:t>pr</w:t>
        </w:r>
        <w:r>
          <w:rPr>
            <w:rFonts w:ascii="Segoe UI" w:hAnsi="Segoe UI" w:cs="Segoe UI"/>
            <w:color w:val="0000FF"/>
            <w:sz w:val="24"/>
            <w:szCs w:val="24"/>
            <w:u w:val="single"/>
            <w:shd w:val="clear" w:color="auto" w:fill="FFFFFF"/>
          </w:rPr>
          <w:t>.</w:t>
        </w:r>
        <w:r>
          <w:rPr>
            <w:rFonts w:ascii="Segoe UI" w:hAnsi="Segoe UI" w:cs="Segoe UI"/>
            <w:color w:val="0000FF"/>
            <w:sz w:val="24"/>
            <w:szCs w:val="24"/>
            <w:u w:val="single"/>
            <w:shd w:val="clear" w:color="auto" w:fill="FFFFFF"/>
            <w:lang w:val="en-US"/>
          </w:rPr>
          <w:t>samara</w:t>
        </w:r>
        <w:r>
          <w:rPr>
            <w:rFonts w:ascii="Segoe UI" w:hAnsi="Segoe UI" w:cs="Segoe UI"/>
            <w:color w:val="0000FF"/>
            <w:sz w:val="24"/>
            <w:szCs w:val="24"/>
            <w:u w:val="single"/>
            <w:shd w:val="clear" w:color="auto" w:fill="FFFFFF"/>
          </w:rPr>
          <w:t>@</w:t>
        </w:r>
        <w:r>
          <w:rPr>
            <w:rFonts w:ascii="Segoe UI" w:hAnsi="Segoe UI" w:cs="Segoe UI"/>
            <w:color w:val="0000FF"/>
            <w:sz w:val="24"/>
            <w:szCs w:val="24"/>
            <w:u w:val="single"/>
            <w:shd w:val="clear" w:color="auto" w:fill="FFFFFF"/>
            <w:lang w:val="en-US"/>
          </w:rPr>
          <w:t>mail</w:t>
        </w:r>
        <w:r>
          <w:rPr>
            <w:rFonts w:ascii="Segoe UI" w:hAnsi="Segoe UI" w:cs="Segoe UI"/>
            <w:color w:val="0000FF"/>
            <w:sz w:val="24"/>
            <w:szCs w:val="24"/>
            <w:u w:val="single"/>
            <w:shd w:val="clear" w:color="auto" w:fill="FFFFFF"/>
          </w:rPr>
          <w:t>.</w:t>
        </w:r>
        <w:proofErr w:type="spellStart"/>
        <w:r>
          <w:rPr>
            <w:rFonts w:ascii="Segoe UI" w:hAnsi="Segoe UI" w:cs="Segoe UI"/>
            <w:color w:val="0000FF"/>
            <w:sz w:val="24"/>
            <w:szCs w:val="24"/>
            <w:u w:val="single"/>
            <w:shd w:val="clear" w:color="auto" w:fill="FFFFFF"/>
            <w:lang w:val="en-US"/>
          </w:rPr>
          <w:t>ru</w:t>
        </w:r>
        <w:proofErr w:type="spellEnd"/>
      </w:hyperlink>
      <w:r>
        <w:rPr>
          <w:noProof/>
          <w:color w:val="000000" w:themeColor="text1"/>
          <w:sz w:val="24"/>
          <w:szCs w:val="24"/>
          <w:lang w:eastAsia="ru-RU"/>
        </w:rPr>
        <mc:AlternateContent>
          <mc:Choice Requires="wps">
            <w:drawing>
              <wp:anchor distT="4294967289" distB="4294967289" distL="114300" distR="114300" simplePos="0" relativeHeight="251660288" behindDoc="0" locked="0" layoutInCell="1" allowOverlap="1">
                <wp:simplePos x="0" y="0"/>
                <wp:positionH relativeFrom="column">
                  <wp:posOffset>734695</wp:posOffset>
                </wp:positionH>
                <wp:positionV relativeFrom="paragraph">
                  <wp:posOffset>8547100</wp:posOffset>
                </wp:positionV>
                <wp:extent cx="6000750" cy="0"/>
                <wp:effectExtent l="0" t="0" r="19050" b="19050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0075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" o:spid="_x0000_s1026" type="#_x0000_t32" style="position:absolute;margin-left:57.85pt;margin-top:673pt;width:472.5pt;height:0;z-index:251660288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Y9UTQIAAFUEAAAOAAAAZHJzL2Uyb0RvYy54bWysVEtu2zAQ3RfoHQjtHUmufxEsB4Vkd5O2&#10;BpIegCYpi6hEEiRt2SgKpLlAjtArdNNFP8gZ5Bt1SH8Qt5ui6GY0JGce38w8any1qSu0ZtpwKdIg&#10;vogCxASRlItlGry7nXVGATIWC4orKVgabJkJribPn40blbCuLGVFmUYAIkzSqDQorVVJGBpSshqb&#10;C6mYgMNC6hpbWOplSDVuAL2uwm4UDcJGaqq0JMwY2M33h8HE4xcFI/ZtURhmUZUGwM16q71dOBtO&#10;xjhZaqxKTg408D+wqDEXcOkJKscWo5Xmf0DVnGhpZGEviKxDWRScMF8DVBNHv1VzU2LFfC3QHKNO&#10;bTL/D5a8Wc814jQNugESuIYRtZ93d7uH9mf7ZfeAdp/aRzC7+91d+7X90X5vH9tvqOv61iiTQHom&#10;5tpVTjbiRl1L8t4gIbMSiyXz/G+3CkBjlxGepbiFUXD7onktKcTglZW+iZtC1w4S2oM2flbb06zY&#10;xiICm4MoioZ9GCk5noU4OSYqbewrJmvknDQwVmO+LG0mhQBFSB37a/D62lhHCyfHBHerkDNeVV4Y&#10;lUANcO+Phn2fYWTFqTt1cUYvF1ml0Ro7bUXDKPNyArSzMC1Xgnq0kmE6PfgW82rvQ3wlHB5UBnwO&#10;3l48Hy6jy+loOup1et3BtNOL8rzzcpb1OoNZPOznL/Isy+OPjlrcS0pOKROO3VHIce/vhHJ4UnsJ&#10;nqR86kN4ju4bBmSPX0/aj9ZNc6+LhaTbuT6OHLTrgw/vzD2Op2vwn/4NJr8AAAD//wMAUEsDBBQA&#10;BgAIAAAAIQCwTKC42wAAAA4BAAAPAAAAZHJzL2Rvd25yZXYueG1sTE/LbsIwELxX4h+sReqt2EAJ&#10;VRoHISQ4VapK+QAn3iYW8TqKDaR/3+VQtbedh2Znis3oO3HFIbpAGuYzBQKpDtZRo+H0uX96ARGT&#10;IWu6QKjhGyNsyslDYXIbbvSB12NqBIdQzI2GNqU+lzLWLXoTZ6FHYu0rDN4khkMj7WBuHO47uVAq&#10;k9444g+t6XHXYn0+XryG97flym4zd1iE+nCq0K33vau0fpyO21cQCcf0Z4Z7fa4OJXeqwoVsFB3j&#10;+WrNVj6WzxmvultUppirfjlZFvL/jPIHAAD//wMAUEsBAi0AFAAGAAgAAAAhALaDOJL+AAAA4QEA&#10;ABMAAAAAAAAAAAAAAAAAAAAAAFtDb250ZW50X1R5cGVzXS54bWxQSwECLQAUAAYACAAAACEAOP0h&#10;/9YAAACUAQAACwAAAAAAAAAAAAAAAAAvAQAAX3JlbHMvLnJlbHNQSwECLQAUAAYACAAAACEAVc2P&#10;VE0CAABVBAAADgAAAAAAAAAAAAAAAAAuAgAAZHJzL2Uyb0RvYy54bWxQSwECLQAUAAYACAAAACEA&#10;sEyguNsAAAAOAQAADwAAAAAAAAAAAAAAAACnBAAAZHJzL2Rvd25yZXYueG1sUEsFBgAAAAAEAAQA&#10;8wAAAK8FAAAAAA==&#10;" strokecolor="#0070c0" strokeweight="1.25pt"/>
            </w:pict>
          </mc:Fallback>
        </mc:AlternateContent>
      </w:r>
    </w:p>
    <w:p>
      <w:pPr>
        <w:jc w:val="both"/>
        <w:rPr>
          <w:rFonts w:ascii="Segoe UI" w:hAnsi="Segoe UI" w:cs="Segoe UI"/>
          <w:sz w:val="24"/>
          <w:szCs w:val="24"/>
        </w:rPr>
      </w:pPr>
    </w:p>
    <w:p>
      <w:pPr>
        <w:spacing w:after="0" w:line="360" w:lineRule="auto"/>
        <w:ind w:firstLine="708"/>
        <w:contextualSpacing/>
        <w:jc w:val="both"/>
        <w:rPr>
          <w:rFonts w:ascii="Segoe UI" w:hAnsi="Segoe UI" w:cs="Segoe UI"/>
          <w:sz w:val="24"/>
          <w:szCs w:val="24"/>
        </w:rPr>
      </w:pPr>
    </w:p>
    <w:p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AB9227-5EC6-4A78-A06C-A699F8FF0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r.samara@mail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369</Words>
  <Characters>2105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Маслов Иван Сергеевич</dc:creator>
  <cp:keywords/>
  <dc:description/>
  <cp:lastModifiedBy>Никитина Ольга Александровна</cp:lastModifiedBy>
  <cp:revision>25</cp:revision>
  <dcterms:created xsi:type="dcterms:W3CDTF">2020-09-08T05:43:00Z</dcterms:created>
  <dcterms:modified xsi:type="dcterms:W3CDTF">2020-09-21T07:33:00Z</dcterms:modified>
</cp:coreProperties>
</file>